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9E" w:rsidRPr="002B6B2F" w:rsidRDefault="0040629E" w:rsidP="0040629E">
      <w:pPr>
        <w:pStyle w:val="Sinespaciado"/>
        <w:tabs>
          <w:tab w:val="left" w:pos="8080"/>
        </w:tabs>
        <w:jc w:val="both"/>
        <w:rPr>
          <w:rFonts w:ascii="Arial" w:hAnsi="Arial" w:cs="Arial"/>
          <w:sz w:val="24"/>
          <w:szCs w:val="24"/>
        </w:rPr>
      </w:pPr>
      <w:r w:rsidRPr="002B6B2F">
        <w:rPr>
          <w:rFonts w:ascii="Arial" w:hAnsi="Arial" w:cs="Arial"/>
          <w:sz w:val="24"/>
          <w:szCs w:val="24"/>
        </w:rPr>
        <w:t xml:space="preserve">Itagüí, </w:t>
      </w:r>
    </w:p>
    <w:p w:rsidR="0040629E" w:rsidRPr="002B6B2F" w:rsidRDefault="0040629E" w:rsidP="004062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0629E" w:rsidRPr="002B6B2F" w:rsidRDefault="0040629E" w:rsidP="004062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0629E" w:rsidRPr="002B6B2F" w:rsidRDefault="0040629E" w:rsidP="0040629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6B2F">
        <w:rPr>
          <w:rFonts w:ascii="Arial" w:hAnsi="Arial" w:cs="Arial"/>
          <w:sz w:val="24"/>
          <w:szCs w:val="24"/>
        </w:rPr>
        <w:t>1600</w:t>
      </w:r>
    </w:p>
    <w:p w:rsidR="0040629E" w:rsidRPr="002B6B2F" w:rsidRDefault="0040629E" w:rsidP="004062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0629E" w:rsidRPr="002B6B2F" w:rsidRDefault="0040629E" w:rsidP="004062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0629E" w:rsidRPr="002B6B2F" w:rsidRDefault="0040629E" w:rsidP="004062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0629E" w:rsidRPr="002B6B2F" w:rsidRDefault="0040629E" w:rsidP="0040629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6B2F">
        <w:rPr>
          <w:rFonts w:ascii="Arial" w:hAnsi="Arial" w:cs="Arial"/>
          <w:sz w:val="24"/>
          <w:szCs w:val="24"/>
        </w:rPr>
        <w:t xml:space="preserve">Doctor </w:t>
      </w:r>
    </w:p>
    <w:p w:rsidR="0040629E" w:rsidRPr="00DF3906" w:rsidRDefault="0040629E" w:rsidP="0040629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F3906">
        <w:rPr>
          <w:rFonts w:ascii="Arial" w:hAnsi="Arial" w:cs="Arial"/>
          <w:b/>
          <w:sz w:val="24"/>
          <w:szCs w:val="24"/>
        </w:rPr>
        <w:t>KENY WILLER GIRALDO SERNA</w:t>
      </w:r>
    </w:p>
    <w:p w:rsidR="0040629E" w:rsidRPr="002B6B2F" w:rsidRDefault="0040629E" w:rsidP="0040629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6B2F">
        <w:rPr>
          <w:rFonts w:ascii="Arial" w:hAnsi="Arial" w:cs="Arial"/>
          <w:sz w:val="24"/>
          <w:szCs w:val="24"/>
        </w:rPr>
        <w:t>Personero Municipal</w:t>
      </w:r>
    </w:p>
    <w:p w:rsidR="0040629E" w:rsidRPr="002B6B2F" w:rsidRDefault="0040629E" w:rsidP="0040629E">
      <w:pPr>
        <w:spacing w:line="240" w:lineRule="atLeast"/>
        <w:rPr>
          <w:rFonts w:cs="Arial"/>
          <w:szCs w:val="24"/>
        </w:rPr>
      </w:pPr>
    </w:p>
    <w:p w:rsidR="0040629E" w:rsidRPr="002B6B2F" w:rsidRDefault="0040629E" w:rsidP="0040629E">
      <w:pPr>
        <w:spacing w:line="240" w:lineRule="atLeast"/>
        <w:rPr>
          <w:rFonts w:cs="Arial"/>
          <w:szCs w:val="24"/>
        </w:rPr>
      </w:pPr>
    </w:p>
    <w:p w:rsidR="0040629E" w:rsidRPr="002B6B2F" w:rsidRDefault="00C7478D" w:rsidP="001024DA">
      <w:pPr>
        <w:spacing w:line="240" w:lineRule="atLeast"/>
        <w:ind w:left="2832"/>
        <w:rPr>
          <w:rFonts w:cs="Arial"/>
          <w:szCs w:val="24"/>
        </w:rPr>
      </w:pPr>
      <w:r>
        <w:rPr>
          <w:rFonts w:cs="Arial"/>
          <w:szCs w:val="24"/>
        </w:rPr>
        <w:t>Asunto: Segundo</w:t>
      </w:r>
      <w:r w:rsidR="0040629E" w:rsidRPr="002B6B2F">
        <w:rPr>
          <w:rFonts w:cs="Arial"/>
          <w:szCs w:val="24"/>
        </w:rPr>
        <w:t xml:space="preserve"> seguimiento Plan Anticorrupción y de Atención al Ciudadano con </w:t>
      </w:r>
      <w:r w:rsidR="00DF3906">
        <w:rPr>
          <w:rFonts w:cs="Arial"/>
          <w:szCs w:val="24"/>
        </w:rPr>
        <w:t>c</w:t>
      </w:r>
      <w:r w:rsidR="0040629E" w:rsidRPr="002B6B2F">
        <w:rPr>
          <w:rFonts w:cs="Arial"/>
          <w:szCs w:val="24"/>
        </w:rPr>
        <w:t>or</w:t>
      </w:r>
      <w:r>
        <w:rPr>
          <w:rFonts w:cs="Arial"/>
          <w:szCs w:val="24"/>
        </w:rPr>
        <w:t>te a Agosto 31</w:t>
      </w:r>
      <w:r w:rsidR="0040629E" w:rsidRPr="002B6B2F">
        <w:rPr>
          <w:rFonts w:cs="Arial"/>
          <w:szCs w:val="24"/>
        </w:rPr>
        <w:t xml:space="preserve"> de 2018</w:t>
      </w:r>
    </w:p>
    <w:p w:rsidR="0040629E" w:rsidRPr="002B6B2F" w:rsidRDefault="0040629E" w:rsidP="001024DA">
      <w:pPr>
        <w:spacing w:line="240" w:lineRule="atLeast"/>
        <w:rPr>
          <w:rFonts w:cs="Arial"/>
          <w:szCs w:val="24"/>
        </w:rPr>
      </w:pPr>
    </w:p>
    <w:p w:rsidR="0040629E" w:rsidRDefault="0040629E" w:rsidP="001024DA">
      <w:pPr>
        <w:spacing w:line="240" w:lineRule="atLeast"/>
        <w:rPr>
          <w:rFonts w:cs="Arial"/>
          <w:szCs w:val="24"/>
        </w:rPr>
      </w:pPr>
    </w:p>
    <w:p w:rsidR="00DF3906" w:rsidRDefault="00DF3906" w:rsidP="0040629E">
      <w:pPr>
        <w:spacing w:line="240" w:lineRule="atLeast"/>
        <w:rPr>
          <w:rFonts w:cs="Arial"/>
          <w:szCs w:val="24"/>
        </w:rPr>
      </w:pPr>
    </w:p>
    <w:p w:rsidR="0040629E" w:rsidRDefault="0040629E" w:rsidP="0040629E">
      <w:pPr>
        <w:spacing w:line="240" w:lineRule="atLeast"/>
        <w:rPr>
          <w:rFonts w:cs="Arial"/>
          <w:szCs w:val="24"/>
        </w:rPr>
      </w:pPr>
      <w:r w:rsidRPr="002B6B2F">
        <w:rPr>
          <w:rFonts w:cs="Arial"/>
          <w:szCs w:val="24"/>
        </w:rPr>
        <w:t>Respetado doctor Giraldo Serna</w:t>
      </w:r>
      <w:r>
        <w:rPr>
          <w:rFonts w:cs="Arial"/>
          <w:szCs w:val="24"/>
        </w:rPr>
        <w:t>:</w:t>
      </w:r>
    </w:p>
    <w:p w:rsidR="0040629E" w:rsidRDefault="0040629E" w:rsidP="0040629E">
      <w:pPr>
        <w:spacing w:line="240" w:lineRule="atLeast"/>
        <w:rPr>
          <w:rFonts w:cs="Arial"/>
          <w:szCs w:val="24"/>
        </w:rPr>
      </w:pPr>
    </w:p>
    <w:p w:rsidR="0040629E" w:rsidRPr="002B6B2F" w:rsidRDefault="0040629E" w:rsidP="0040629E">
      <w:pPr>
        <w:rPr>
          <w:rFonts w:cs="Arial"/>
          <w:szCs w:val="24"/>
          <w:lang w:eastAsia="es-MX"/>
        </w:rPr>
      </w:pPr>
      <w:r w:rsidRPr="002B6B2F">
        <w:rPr>
          <w:rFonts w:cs="Arial"/>
          <w:szCs w:val="24"/>
          <w:lang w:eastAsia="es-MX"/>
        </w:rPr>
        <w:t>La Oficina de Control Interno de la Personería Municipal de Itagüí dando aplicación a las  normas constitucionales y legales, además de su plan de acción 2016, efectúo la verificación al acatamiento de lo regulado en los artículos 73 y 76 de la Ley 1474 de 2011 y el Decreto 2641 de diciembre 17 de 2012, en lo referente a la estrategia denominada “Plan anticorrupción y de atención al ciudadano”, que pretende prevenir los actos que afecten o dañen el patrimonio público en la Entidad y cuya aplicación corresponde a todos los funcionarios de la Personería.</w:t>
      </w:r>
    </w:p>
    <w:p w:rsidR="0040629E" w:rsidRPr="002B6B2F" w:rsidRDefault="0040629E" w:rsidP="0040629E">
      <w:pPr>
        <w:rPr>
          <w:rFonts w:cs="Arial"/>
          <w:szCs w:val="24"/>
        </w:rPr>
      </w:pPr>
    </w:p>
    <w:p w:rsidR="0040629E" w:rsidRDefault="0040629E" w:rsidP="0040629E">
      <w:pPr>
        <w:spacing w:line="240" w:lineRule="atLeast"/>
        <w:rPr>
          <w:rFonts w:cs="Arial"/>
          <w:szCs w:val="24"/>
        </w:rPr>
      </w:pPr>
      <w:r w:rsidRPr="002B6B2F">
        <w:rPr>
          <w:rFonts w:cs="Arial"/>
          <w:szCs w:val="24"/>
        </w:rPr>
        <w:t>En cuanto al Plan Anticorrupción y de Atención al Ciud</w:t>
      </w:r>
      <w:r w:rsidR="00AB4F41">
        <w:rPr>
          <w:rFonts w:cs="Arial"/>
          <w:szCs w:val="24"/>
        </w:rPr>
        <w:t>adano formulado para el año 2018</w:t>
      </w:r>
      <w:r w:rsidRPr="002B6B2F">
        <w:rPr>
          <w:rFonts w:cs="Arial"/>
          <w:szCs w:val="24"/>
        </w:rPr>
        <w:t xml:space="preserve">, se encuentra que: </w:t>
      </w:r>
    </w:p>
    <w:p w:rsidR="00D21244" w:rsidRPr="002B6B2F" w:rsidRDefault="00D21244" w:rsidP="0040629E">
      <w:pPr>
        <w:spacing w:line="240" w:lineRule="atLeast"/>
        <w:rPr>
          <w:rFonts w:cs="Arial"/>
          <w:szCs w:val="24"/>
        </w:rPr>
      </w:pPr>
    </w:p>
    <w:p w:rsidR="0040629E" w:rsidRDefault="0040629E" w:rsidP="0040629E">
      <w:pPr>
        <w:spacing w:line="240" w:lineRule="atLeast"/>
        <w:rPr>
          <w:rFonts w:cs="Arial"/>
          <w:szCs w:val="24"/>
        </w:rPr>
      </w:pPr>
      <w:r w:rsidRPr="002B6B2F">
        <w:rPr>
          <w:rFonts w:cs="Arial"/>
          <w:szCs w:val="24"/>
        </w:rPr>
        <w:t>La Entidad ha venido cumpliendo de manera adecuada las disposiciones emanadas sobre el tema, en lo referente a su elaboración y publicación el cual fue aprobado por Comité Directivo en el mes de enero de 2018</w:t>
      </w:r>
      <w:r w:rsidR="00D21244">
        <w:rPr>
          <w:rFonts w:cs="Arial"/>
          <w:szCs w:val="24"/>
        </w:rPr>
        <w:t>.</w:t>
      </w:r>
    </w:p>
    <w:p w:rsidR="00D21244" w:rsidRPr="002B6B2F" w:rsidRDefault="00D21244" w:rsidP="0040629E">
      <w:pPr>
        <w:spacing w:line="240" w:lineRule="atLeast"/>
        <w:rPr>
          <w:rFonts w:cs="Arial"/>
          <w:szCs w:val="24"/>
        </w:rPr>
      </w:pPr>
    </w:p>
    <w:p w:rsidR="0040629E" w:rsidRPr="002B6B2F" w:rsidRDefault="0040629E" w:rsidP="0040629E">
      <w:pPr>
        <w:pStyle w:val="Default"/>
        <w:jc w:val="both"/>
      </w:pPr>
      <w:r w:rsidRPr="002B6B2F">
        <w:t>El Plan Anticorrupción y de Atención al Ciudadano fue construido conforme a la metodología observada en el Decreto 124 de 2016, señalando el procedimiento para su diseño y hacer el seguimiento a la estrategia de lucha contra la corrupción y de atención al ciudadano y la contenida en el documento "Estrategias para la Construcción del Plan Anticorrupción y de Atención al Ciudadano-Versión 2, expedido por el Departamento Administrativo de la Función Pública.</w:t>
      </w:r>
    </w:p>
    <w:p w:rsidR="0040629E" w:rsidRPr="002B6B2F" w:rsidRDefault="0040629E" w:rsidP="0040629E">
      <w:pPr>
        <w:pStyle w:val="Default"/>
        <w:jc w:val="both"/>
      </w:pPr>
    </w:p>
    <w:p w:rsidR="0040629E" w:rsidRPr="002B6B2F" w:rsidRDefault="0040629E" w:rsidP="0040629E">
      <w:pPr>
        <w:pStyle w:val="Default"/>
        <w:jc w:val="both"/>
      </w:pPr>
    </w:p>
    <w:p w:rsidR="0040629E" w:rsidRDefault="0040629E" w:rsidP="0040629E">
      <w:pPr>
        <w:pStyle w:val="Default"/>
        <w:jc w:val="both"/>
      </w:pPr>
      <w:r w:rsidRPr="002B6B2F">
        <w:lastRenderedPageBreak/>
        <w:t xml:space="preserve">Seguimiento a los componentes del plan anticorrupción adoptado mediante </w:t>
      </w:r>
      <w:r w:rsidR="00D21244">
        <w:t>R</w:t>
      </w:r>
      <w:r w:rsidR="00AB4F41">
        <w:t>esolución 019 de enero de 2018, con corte a 31 de agosto del año en curso podemos observar la siguiente ejecución:</w:t>
      </w:r>
    </w:p>
    <w:p w:rsidR="00846F88" w:rsidRDefault="00846F88" w:rsidP="0040629E">
      <w:pPr>
        <w:pStyle w:val="Default"/>
        <w:jc w:val="both"/>
      </w:pPr>
    </w:p>
    <w:p w:rsidR="00846F88" w:rsidRPr="001164F0" w:rsidRDefault="00846F88" w:rsidP="0040629E">
      <w:pPr>
        <w:pStyle w:val="Default"/>
        <w:jc w:val="both"/>
        <w:rPr>
          <w:b/>
        </w:rPr>
      </w:pPr>
      <w:r w:rsidRPr="001164F0">
        <w:rPr>
          <w:b/>
        </w:rPr>
        <w:t>RESPONSABLE: JEFE DE CONTROL INTERNO:</w:t>
      </w:r>
    </w:p>
    <w:p w:rsidR="0040629E" w:rsidRDefault="0040629E" w:rsidP="0040629E">
      <w:pPr>
        <w:pStyle w:val="Default"/>
        <w:jc w:val="both"/>
      </w:pPr>
    </w:p>
    <w:p w:rsidR="00A23758" w:rsidRDefault="00A23758" w:rsidP="0040629E">
      <w:pPr>
        <w:pStyle w:val="Default"/>
        <w:jc w:val="both"/>
      </w:pPr>
    </w:p>
    <w:p w:rsidR="00A23758" w:rsidRPr="002B6B2F" w:rsidRDefault="00A23758" w:rsidP="0040629E">
      <w:pPr>
        <w:pStyle w:val="Default"/>
        <w:jc w:val="both"/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1438"/>
        <w:gridCol w:w="1485"/>
        <w:gridCol w:w="1437"/>
        <w:gridCol w:w="1279"/>
        <w:gridCol w:w="1678"/>
      </w:tblGrid>
      <w:tr w:rsidR="0040629E" w:rsidRPr="002B6B2F" w:rsidTr="001024DA">
        <w:trPr>
          <w:trHeight w:val="6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b/>
                <w:bCs/>
                <w:color w:val="000000"/>
                <w:sz w:val="20"/>
                <w:lang w:eastAsia="es-CO"/>
              </w:rPr>
              <w:t>GESTION DEL RIESGO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b/>
                <w:bCs/>
                <w:color w:val="000000"/>
                <w:sz w:val="20"/>
                <w:lang w:eastAsia="es-CO"/>
              </w:rPr>
              <w:t>ACTIVIDAD PROGRAMADA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b/>
                <w:bCs/>
                <w:color w:val="000000"/>
                <w:sz w:val="20"/>
                <w:lang w:eastAsia="es-CO"/>
              </w:rPr>
              <w:t>PRODUCTO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b/>
                <w:bCs/>
                <w:color w:val="000000"/>
                <w:sz w:val="20"/>
                <w:lang w:eastAsia="es-CO"/>
              </w:rPr>
              <w:t>RESPONSABLE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9E" w:rsidRPr="00A23758" w:rsidRDefault="0040629E" w:rsidP="00711906">
            <w:pPr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b/>
                <w:bCs/>
                <w:color w:val="000000"/>
                <w:sz w:val="20"/>
                <w:lang w:eastAsia="es-CO"/>
              </w:rPr>
              <w:t>TRIMESTRE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9E" w:rsidRPr="00A23758" w:rsidRDefault="0040629E" w:rsidP="00711906">
            <w:pPr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b/>
                <w:bCs/>
                <w:color w:val="000000"/>
                <w:sz w:val="20"/>
                <w:lang w:eastAsia="es-CO"/>
              </w:rPr>
              <w:t xml:space="preserve"> SEGUIMIENTO </w:t>
            </w:r>
          </w:p>
        </w:tc>
      </w:tr>
      <w:tr w:rsidR="0040629E" w:rsidRPr="002B6B2F" w:rsidTr="001024DA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b/>
                <w:bCs/>
                <w:color w:val="000000"/>
                <w:sz w:val="20"/>
                <w:lang w:eastAsia="es-CO"/>
              </w:rPr>
              <w:t>SUBCOMPONENTE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9E" w:rsidRPr="00A23758" w:rsidRDefault="0040629E" w:rsidP="00711906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9E" w:rsidRPr="00A23758" w:rsidRDefault="0040629E" w:rsidP="00711906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</w:tr>
      <w:tr w:rsidR="0040629E" w:rsidRPr="002B6B2F" w:rsidTr="001024DA">
        <w:trPr>
          <w:trHeight w:val="258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color w:val="000000"/>
                <w:sz w:val="20"/>
                <w:lang w:eastAsia="es-CO"/>
              </w:rPr>
              <w:t>CONSULTA Y DIVULGACION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color w:val="000000"/>
                <w:sz w:val="20"/>
                <w:lang w:eastAsia="es-CO"/>
              </w:rPr>
              <w:t>Hacer entrevistas a los líderes de procesos para hacer seguimiento a los riesgos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color w:val="000000"/>
                <w:sz w:val="20"/>
                <w:lang w:eastAsia="es-CO"/>
              </w:rPr>
              <w:t xml:space="preserve">Encuesta recomendada en la guía DAFP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color w:val="000000"/>
                <w:sz w:val="20"/>
                <w:lang w:eastAsia="es-CO"/>
              </w:rPr>
              <w:t>Jefe de Control Interno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color w:val="000000"/>
                <w:sz w:val="20"/>
                <w:lang w:eastAsia="es-CO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9E" w:rsidRPr="00A23758" w:rsidRDefault="0040629E" w:rsidP="00C32F0F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color w:val="000000"/>
                <w:sz w:val="20"/>
                <w:lang w:eastAsia="es-CO"/>
              </w:rPr>
              <w:t>Se realizó las encuestas con base en la guía del AFP con corte a abril de 2018,  a cada uno de los líderes del proceso para medir el impacto y probabilidad</w:t>
            </w:r>
            <w:r w:rsidR="00AB4F41">
              <w:rPr>
                <w:rFonts w:cs="Arial"/>
                <w:color w:val="000000"/>
                <w:sz w:val="20"/>
                <w:lang w:eastAsia="es-CO"/>
              </w:rPr>
              <w:t xml:space="preserve"> y con corte a 31 de agosto de 2018</w:t>
            </w:r>
          </w:p>
        </w:tc>
      </w:tr>
      <w:tr w:rsidR="0040629E" w:rsidRPr="002B6B2F" w:rsidTr="001024DA">
        <w:trPr>
          <w:trHeight w:val="416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9E" w:rsidRPr="00A23758" w:rsidRDefault="0040629E" w:rsidP="00711906">
            <w:pPr>
              <w:jc w:val="center"/>
              <w:rPr>
                <w:rFonts w:cs="Calibri"/>
                <w:b/>
                <w:bCs/>
                <w:color w:val="000000"/>
                <w:sz w:val="20"/>
                <w:lang w:eastAsia="es-CO"/>
              </w:rPr>
            </w:pPr>
            <w:r w:rsidRPr="00A23758">
              <w:rPr>
                <w:rFonts w:cs="Calibri"/>
                <w:b/>
                <w:bCs/>
                <w:color w:val="000000"/>
                <w:sz w:val="20"/>
                <w:lang w:eastAsia="es-CO"/>
              </w:rPr>
              <w:t>SEGUIMIENTO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9E" w:rsidRPr="00A23758" w:rsidRDefault="0040629E" w:rsidP="00711906">
            <w:pPr>
              <w:rPr>
                <w:rFonts w:cs="Calibri"/>
                <w:color w:val="000000"/>
                <w:sz w:val="20"/>
                <w:lang w:eastAsia="es-CO"/>
              </w:rPr>
            </w:pPr>
            <w:r w:rsidRPr="00A23758">
              <w:rPr>
                <w:rFonts w:cs="Calibri"/>
                <w:color w:val="000000"/>
                <w:sz w:val="20"/>
                <w:lang w:eastAsia="es-CO"/>
              </w:rPr>
              <w:t>Hacer seguimiento  la política de administración del riesgo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9E" w:rsidRPr="00A23758" w:rsidRDefault="0040629E" w:rsidP="00711906">
            <w:pPr>
              <w:rPr>
                <w:rFonts w:cs="Calibri"/>
                <w:color w:val="000000"/>
                <w:sz w:val="20"/>
                <w:lang w:eastAsia="es-CO"/>
              </w:rPr>
            </w:pPr>
            <w:r w:rsidRPr="00A23758">
              <w:rPr>
                <w:rFonts w:cs="Calibri"/>
                <w:color w:val="000000"/>
                <w:sz w:val="20"/>
                <w:lang w:eastAsia="es-CO"/>
              </w:rPr>
              <w:t>Formatos de seguimiento debidamente diligenciados (Matriz de Riesgos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9E" w:rsidRPr="00A23758" w:rsidRDefault="0040629E" w:rsidP="00711906">
            <w:pPr>
              <w:jc w:val="center"/>
              <w:rPr>
                <w:rFonts w:cs="Calibri"/>
                <w:color w:val="000000"/>
                <w:sz w:val="20"/>
                <w:lang w:eastAsia="es-CO"/>
              </w:rPr>
            </w:pPr>
            <w:r w:rsidRPr="00A23758">
              <w:rPr>
                <w:rFonts w:cs="Calibri"/>
                <w:color w:val="000000"/>
                <w:sz w:val="20"/>
                <w:lang w:eastAsia="es-CO"/>
              </w:rPr>
              <w:t>Jefe de Control Interno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9E" w:rsidRPr="00A23758" w:rsidRDefault="0040629E" w:rsidP="00711906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A23758">
              <w:rPr>
                <w:rFonts w:cs="Arial"/>
                <w:color w:val="000000"/>
                <w:sz w:val="20"/>
                <w:lang w:eastAsia="es-CO"/>
              </w:rPr>
              <w:t>Cuatrimestral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9E" w:rsidRPr="00A23758" w:rsidRDefault="0040629E" w:rsidP="00C32F0F">
            <w:pPr>
              <w:rPr>
                <w:rFonts w:cs="Calibri"/>
                <w:color w:val="000000"/>
                <w:sz w:val="20"/>
                <w:lang w:eastAsia="es-CO"/>
              </w:rPr>
            </w:pPr>
            <w:r w:rsidRPr="00A23758">
              <w:rPr>
                <w:rFonts w:cs="Calibri"/>
                <w:color w:val="000000"/>
                <w:sz w:val="20"/>
                <w:lang w:eastAsia="es-CO"/>
              </w:rPr>
              <w:t>Se verificó en la carpeta del SGC la actualización de seguimiento de riesgos de corrupción en la matriz de riesgos</w:t>
            </w:r>
          </w:p>
        </w:tc>
      </w:tr>
    </w:tbl>
    <w:p w:rsidR="0040629E" w:rsidRPr="002B6B2F" w:rsidRDefault="0040629E" w:rsidP="0040629E">
      <w:pPr>
        <w:pStyle w:val="Default"/>
        <w:jc w:val="both"/>
      </w:pPr>
    </w:p>
    <w:p w:rsidR="00A23758" w:rsidRPr="002B6B2F" w:rsidRDefault="00A23758" w:rsidP="0040629E">
      <w:pPr>
        <w:pStyle w:val="Default"/>
        <w:jc w:val="both"/>
      </w:pPr>
    </w:p>
    <w:p w:rsidR="005B290E" w:rsidRDefault="00846F88" w:rsidP="0040629E">
      <w:pPr>
        <w:rPr>
          <w:rFonts w:cs="Arial"/>
        </w:rPr>
      </w:pPr>
      <w:r>
        <w:rPr>
          <w:rFonts w:cs="Arial"/>
        </w:rPr>
        <w:t>Las e</w:t>
      </w:r>
      <w:r w:rsidR="0040629E">
        <w:rPr>
          <w:rFonts w:cs="Arial"/>
        </w:rPr>
        <w:t>videncias</w:t>
      </w:r>
      <w:r w:rsidR="005B290E">
        <w:rPr>
          <w:rFonts w:cs="Arial"/>
        </w:rPr>
        <w:t xml:space="preserve"> frente al </w:t>
      </w:r>
      <w:r w:rsidR="0040629E" w:rsidRPr="00990F16">
        <w:rPr>
          <w:rFonts w:cs="Arial"/>
        </w:rPr>
        <w:t xml:space="preserve">seguimiento a los componentes establecidos en el plan anticorrupción contenidos en la </w:t>
      </w:r>
      <w:r w:rsidR="005B290E">
        <w:rPr>
          <w:rFonts w:cs="Arial"/>
        </w:rPr>
        <w:t>R</w:t>
      </w:r>
      <w:r w:rsidR="0040629E" w:rsidRPr="00990F16">
        <w:rPr>
          <w:rFonts w:cs="Arial"/>
        </w:rPr>
        <w:t xml:space="preserve">esolución </w:t>
      </w:r>
      <w:r>
        <w:rPr>
          <w:rFonts w:cs="Arial"/>
        </w:rPr>
        <w:t>N</w:t>
      </w:r>
      <w:r w:rsidR="0040629E" w:rsidRPr="00990F16">
        <w:rPr>
          <w:rFonts w:cs="Arial"/>
        </w:rPr>
        <w:t>ro. 019 de enero 31 de 2018</w:t>
      </w:r>
      <w:r>
        <w:rPr>
          <w:rFonts w:cs="Arial"/>
        </w:rPr>
        <w:t xml:space="preserve">, forman parte del presente informe, como ANEXO NUMERO  01, el cual consta de </w:t>
      </w:r>
      <w:r w:rsidR="00842BBB">
        <w:rPr>
          <w:rFonts w:cs="Arial"/>
        </w:rPr>
        <w:t>52 folios</w:t>
      </w:r>
    </w:p>
    <w:p w:rsidR="00834884" w:rsidRDefault="00834884" w:rsidP="0040629E">
      <w:pPr>
        <w:rPr>
          <w:rFonts w:cs="Arial"/>
        </w:rPr>
      </w:pPr>
    </w:p>
    <w:p w:rsidR="00834884" w:rsidRDefault="00834884" w:rsidP="0040629E">
      <w:pPr>
        <w:rPr>
          <w:rFonts w:cs="Arial"/>
        </w:rPr>
      </w:pPr>
    </w:p>
    <w:p w:rsidR="00834884" w:rsidRDefault="00834884" w:rsidP="0040629E">
      <w:pPr>
        <w:rPr>
          <w:rFonts w:cs="Arial"/>
        </w:rPr>
      </w:pPr>
    </w:p>
    <w:p w:rsidR="001024DA" w:rsidRDefault="001024DA" w:rsidP="0040629E">
      <w:pPr>
        <w:rPr>
          <w:rFonts w:cs="Arial"/>
        </w:rPr>
      </w:pPr>
    </w:p>
    <w:p w:rsidR="00C32F0F" w:rsidRDefault="00C32F0F" w:rsidP="0040629E">
      <w:pPr>
        <w:rPr>
          <w:rFonts w:cs="Arial"/>
        </w:rPr>
      </w:pPr>
    </w:p>
    <w:p w:rsidR="00C32F0F" w:rsidRDefault="00C32F0F" w:rsidP="0040629E">
      <w:pPr>
        <w:rPr>
          <w:rFonts w:cs="Arial"/>
        </w:rPr>
      </w:pPr>
    </w:p>
    <w:p w:rsidR="00C32F0F" w:rsidRDefault="00C32F0F" w:rsidP="0040629E">
      <w:pPr>
        <w:rPr>
          <w:rFonts w:cs="Arial"/>
        </w:rPr>
      </w:pPr>
    </w:p>
    <w:p w:rsidR="00C32F0F" w:rsidRDefault="00C32F0F" w:rsidP="0040629E">
      <w:pPr>
        <w:rPr>
          <w:rFonts w:cs="Arial"/>
        </w:rPr>
      </w:pPr>
    </w:p>
    <w:p w:rsidR="00DB3F7B" w:rsidRDefault="00DB3F7B" w:rsidP="0040629E">
      <w:pPr>
        <w:pStyle w:val="Default"/>
        <w:jc w:val="both"/>
      </w:pPr>
      <w:r>
        <w:lastRenderedPageBreak/>
        <w:t>Se evidenció que con corte a 31 de agosto del año en curso, no se ha recepcionado quejas en contra de los servidores de la Entidad por presuntos actos de corrupción.</w:t>
      </w:r>
    </w:p>
    <w:p w:rsidR="00DB3F7B" w:rsidRDefault="00DB3F7B" w:rsidP="0040629E">
      <w:pPr>
        <w:pStyle w:val="Default"/>
        <w:jc w:val="both"/>
      </w:pPr>
    </w:p>
    <w:p w:rsidR="00871BE1" w:rsidRDefault="00842BBB" w:rsidP="0040629E">
      <w:pPr>
        <w:pStyle w:val="Default"/>
        <w:jc w:val="both"/>
      </w:pPr>
      <w:r>
        <w:t>Finalmente</w:t>
      </w:r>
      <w:r w:rsidR="0040629E">
        <w:t xml:space="preserve">, se realizó seguimiento a la matriz de los riesgos de corrupción </w:t>
      </w:r>
      <w:r w:rsidR="00871BE1">
        <w:t xml:space="preserve"> </w:t>
      </w:r>
      <w:r w:rsidR="000F0376">
        <w:t>una vez evaluado  los controles quedando así:</w:t>
      </w:r>
    </w:p>
    <w:p w:rsidR="000F7A62" w:rsidRDefault="000F7A62" w:rsidP="0040629E">
      <w:pPr>
        <w:pStyle w:val="Default"/>
        <w:jc w:val="both"/>
      </w:pPr>
    </w:p>
    <w:tbl>
      <w:tblPr>
        <w:tblW w:w="9061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956"/>
        <w:gridCol w:w="2268"/>
        <w:gridCol w:w="844"/>
        <w:gridCol w:w="4210"/>
      </w:tblGrid>
      <w:tr w:rsidR="000F7A62" w:rsidRPr="000F7A62" w:rsidTr="00D05ACB">
        <w:trPr>
          <w:trHeight w:val="734"/>
        </w:trPr>
        <w:tc>
          <w:tcPr>
            <w:tcW w:w="90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b/>
                <w:bCs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b/>
                <w:bCs/>
                <w:sz w:val="22"/>
                <w:szCs w:val="22"/>
                <w:lang w:val="es-CO" w:eastAsia="es-CO"/>
              </w:rPr>
              <w:t>VALORACIÓN DEL RIESGO</w:t>
            </w:r>
          </w:p>
        </w:tc>
      </w:tr>
      <w:tr w:rsidR="000F7A62" w:rsidRPr="000F7A62" w:rsidTr="001164F0">
        <w:trPr>
          <w:trHeight w:val="632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F7A62" w:rsidRPr="000F7A62" w:rsidRDefault="000F7A62" w:rsidP="000F7A62">
            <w:pPr>
              <w:jc w:val="center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0F7A62" w:rsidRPr="000F7A62" w:rsidRDefault="000F7A62" w:rsidP="000F7A62">
            <w:pPr>
              <w:jc w:val="center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62" w:rsidRPr="000F7A62" w:rsidRDefault="000F7A62" w:rsidP="000F7A62">
            <w:pPr>
              <w:jc w:val="center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Zona de riesgo BAJA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62" w:rsidRPr="000F7A62" w:rsidRDefault="000F7A62" w:rsidP="000F7A62">
            <w:pPr>
              <w:jc w:val="center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36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F7A62" w:rsidRPr="000F7A62" w:rsidRDefault="000F7A62" w:rsidP="000F7A62">
            <w:pPr>
              <w:jc w:val="center"/>
              <w:rPr>
                <w:rFonts w:cs="Arial"/>
                <w:color w:val="008000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color w:val="008000"/>
                <w:sz w:val="22"/>
                <w:szCs w:val="22"/>
                <w:lang w:val="es-CO" w:eastAsia="es-CO"/>
              </w:rPr>
              <w:t>82%</w:t>
            </w:r>
          </w:p>
        </w:tc>
      </w:tr>
      <w:tr w:rsidR="000F7A62" w:rsidRPr="000F7A62" w:rsidTr="001164F0">
        <w:trPr>
          <w:trHeight w:val="482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Zona de riesgo MODERADA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color w:val="008000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color w:val="008000"/>
                <w:sz w:val="22"/>
                <w:szCs w:val="22"/>
                <w:lang w:val="es-CO" w:eastAsia="es-CO"/>
              </w:rPr>
              <w:t>18%</w:t>
            </w:r>
          </w:p>
        </w:tc>
      </w:tr>
      <w:tr w:rsidR="000F7A62" w:rsidRPr="000F7A62" w:rsidTr="001164F0">
        <w:trPr>
          <w:trHeight w:val="683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Zona de riesgo ALTA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0%</w:t>
            </w:r>
          </w:p>
        </w:tc>
      </w:tr>
      <w:tr w:rsidR="000F7A62" w:rsidRPr="000F7A62" w:rsidTr="001164F0">
        <w:trPr>
          <w:trHeight w:val="641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Zona de riesgo EXTREMA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0%</w:t>
            </w:r>
          </w:p>
        </w:tc>
      </w:tr>
      <w:tr w:rsidR="000F7A62" w:rsidRPr="000F7A62" w:rsidTr="001164F0">
        <w:trPr>
          <w:trHeight w:val="452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44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A62" w:rsidRPr="000F7A62" w:rsidRDefault="000F7A62" w:rsidP="000F7A62">
            <w:pPr>
              <w:jc w:val="center"/>
              <w:outlineLvl w:val="0"/>
              <w:rPr>
                <w:rFonts w:cs="Arial"/>
                <w:sz w:val="22"/>
                <w:szCs w:val="22"/>
                <w:lang w:val="es-CO" w:eastAsia="es-CO"/>
              </w:rPr>
            </w:pPr>
            <w:r w:rsidRPr="000F7A62">
              <w:rPr>
                <w:rFonts w:cs="Arial"/>
                <w:sz w:val="22"/>
                <w:szCs w:val="22"/>
                <w:lang w:val="es-CO" w:eastAsia="es-CO"/>
              </w:rPr>
              <w:t>100%</w:t>
            </w:r>
          </w:p>
        </w:tc>
      </w:tr>
    </w:tbl>
    <w:p w:rsidR="000F7A62" w:rsidRPr="000F7A62" w:rsidRDefault="000F7A62" w:rsidP="000F7A62">
      <w:pPr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bookmarkStart w:id="0" w:name="_GoBack"/>
      <w:bookmarkEnd w:id="0"/>
    </w:p>
    <w:p w:rsidR="000F7A62" w:rsidRDefault="000F7A62" w:rsidP="0040629E">
      <w:pPr>
        <w:pStyle w:val="Default"/>
        <w:jc w:val="both"/>
      </w:pPr>
    </w:p>
    <w:p w:rsidR="001024DA" w:rsidRDefault="001024DA" w:rsidP="0040629E">
      <w:pPr>
        <w:pStyle w:val="Default"/>
        <w:jc w:val="both"/>
      </w:pPr>
      <w:r>
        <w:t>Se adjunta en medio magnético la matriz de seguimiento a los riesgos de corrupción.</w:t>
      </w:r>
    </w:p>
    <w:p w:rsidR="001024DA" w:rsidRDefault="001024DA" w:rsidP="0040629E">
      <w:pPr>
        <w:pStyle w:val="Default"/>
        <w:jc w:val="both"/>
      </w:pPr>
    </w:p>
    <w:p w:rsidR="001024DA" w:rsidRDefault="001024DA" w:rsidP="0040629E">
      <w:pPr>
        <w:pStyle w:val="Default"/>
        <w:jc w:val="both"/>
      </w:pPr>
    </w:p>
    <w:p w:rsidR="0040629E" w:rsidRPr="002B6B2F" w:rsidRDefault="0040629E" w:rsidP="0040629E">
      <w:pPr>
        <w:spacing w:line="240" w:lineRule="atLeast"/>
        <w:rPr>
          <w:rFonts w:cs="Arial"/>
          <w:szCs w:val="24"/>
        </w:rPr>
      </w:pPr>
      <w:r w:rsidRPr="002B6B2F">
        <w:rPr>
          <w:rFonts w:cs="Arial"/>
          <w:szCs w:val="24"/>
        </w:rPr>
        <w:t>Atentamente,</w:t>
      </w:r>
    </w:p>
    <w:p w:rsidR="0040629E" w:rsidRDefault="0040629E" w:rsidP="0040629E">
      <w:pPr>
        <w:spacing w:line="240" w:lineRule="atLeast"/>
        <w:rPr>
          <w:rFonts w:cs="Arial"/>
          <w:szCs w:val="24"/>
        </w:rPr>
      </w:pPr>
    </w:p>
    <w:p w:rsidR="0040629E" w:rsidRDefault="0040629E" w:rsidP="0040629E">
      <w:pPr>
        <w:spacing w:line="240" w:lineRule="atLeast"/>
        <w:rPr>
          <w:rFonts w:cs="Arial"/>
          <w:szCs w:val="24"/>
        </w:rPr>
      </w:pPr>
    </w:p>
    <w:p w:rsidR="0040629E" w:rsidRDefault="0040629E" w:rsidP="0040629E">
      <w:pPr>
        <w:spacing w:line="240" w:lineRule="atLeast"/>
        <w:rPr>
          <w:rFonts w:cs="Arial"/>
          <w:szCs w:val="24"/>
        </w:rPr>
      </w:pPr>
    </w:p>
    <w:p w:rsidR="00C32F0F" w:rsidRPr="002B6B2F" w:rsidRDefault="00C32F0F" w:rsidP="0040629E">
      <w:pPr>
        <w:spacing w:line="240" w:lineRule="atLeast"/>
        <w:rPr>
          <w:rFonts w:cs="Arial"/>
          <w:szCs w:val="24"/>
        </w:rPr>
      </w:pPr>
    </w:p>
    <w:p w:rsidR="0040629E" w:rsidRPr="002B6B2F" w:rsidRDefault="0040629E" w:rsidP="0040629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B6B2F">
        <w:rPr>
          <w:rFonts w:ascii="Arial" w:hAnsi="Arial" w:cs="Arial"/>
          <w:b/>
          <w:sz w:val="24"/>
          <w:szCs w:val="24"/>
        </w:rPr>
        <w:t>ELSA YAZMIN GONZALEZ VEGA</w:t>
      </w:r>
    </w:p>
    <w:p w:rsidR="0040629E" w:rsidRPr="002B6B2F" w:rsidRDefault="0040629E" w:rsidP="0040629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6B2F">
        <w:rPr>
          <w:rFonts w:ascii="Arial" w:hAnsi="Arial" w:cs="Arial"/>
          <w:sz w:val="24"/>
          <w:szCs w:val="24"/>
        </w:rPr>
        <w:t>Jefe Control Interno</w:t>
      </w:r>
    </w:p>
    <w:sectPr w:rsidR="0040629E" w:rsidRPr="002B6B2F" w:rsidSect="00D61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14" w:right="170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0D" w:rsidRDefault="003C290D" w:rsidP="00C50F77">
      <w:r>
        <w:separator/>
      </w:r>
    </w:p>
  </w:endnote>
  <w:endnote w:type="continuationSeparator" w:id="0">
    <w:p w:rsidR="003C290D" w:rsidRDefault="003C290D" w:rsidP="00C5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DD" w:rsidRDefault="003722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CD" w:rsidRDefault="003722DD">
    <w:pPr>
      <w:pStyle w:val="Piedepgina"/>
    </w:pPr>
    <w:r w:rsidRPr="003722DD">
      <w:rPr>
        <w:noProof/>
        <w:lang w:val="es-CO" w:eastAsia="es-CO"/>
      </w:rPr>
      <w:drawing>
        <wp:inline distT="0" distB="0" distL="0" distR="0">
          <wp:extent cx="5612130" cy="1029563"/>
          <wp:effectExtent l="19050" t="0" r="762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8343" t="62772" r="24474" b="23369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29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DD" w:rsidRDefault="00372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0D" w:rsidRDefault="003C290D" w:rsidP="00C50F77">
      <w:r>
        <w:separator/>
      </w:r>
    </w:p>
  </w:footnote>
  <w:footnote w:type="continuationSeparator" w:id="0">
    <w:p w:rsidR="003C290D" w:rsidRDefault="003C290D" w:rsidP="00C5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DD" w:rsidRDefault="003722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CD" w:rsidRDefault="006748CD">
    <w:pPr>
      <w:pStyle w:val="Encabezado"/>
      <w:rPr>
        <w:noProof/>
        <w:lang w:eastAsia="es-CO"/>
      </w:rPr>
    </w:pPr>
    <w:r w:rsidRPr="00C50F77"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2028825" cy="576580"/>
          <wp:effectExtent l="0" t="0" r="9525" b="0"/>
          <wp:wrapSquare wrapText="bothSides"/>
          <wp:docPr id="1" name="Imagen 1" descr="C:\Users\71789200\Desktop\milen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1789200\Desktop\milena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748CD" w:rsidRDefault="006748C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DD" w:rsidRDefault="003722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7D69"/>
    <w:multiLevelType w:val="hybridMultilevel"/>
    <w:tmpl w:val="CA9A0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5F69"/>
    <w:multiLevelType w:val="hybridMultilevel"/>
    <w:tmpl w:val="1876E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D1EF6"/>
    <w:multiLevelType w:val="hybridMultilevel"/>
    <w:tmpl w:val="ED381A52"/>
    <w:lvl w:ilvl="0" w:tplc="3ADC60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31C68"/>
    <w:multiLevelType w:val="hybridMultilevel"/>
    <w:tmpl w:val="D090BA7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A321CE"/>
    <w:multiLevelType w:val="hybridMultilevel"/>
    <w:tmpl w:val="F2568058"/>
    <w:lvl w:ilvl="0" w:tplc="C5E0B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77"/>
    <w:rsid w:val="0005737B"/>
    <w:rsid w:val="000B00C6"/>
    <w:rsid w:val="000D6161"/>
    <w:rsid w:val="000F0376"/>
    <w:rsid w:val="000F7A62"/>
    <w:rsid w:val="001024DA"/>
    <w:rsid w:val="001164F0"/>
    <w:rsid w:val="002A6155"/>
    <w:rsid w:val="002D532E"/>
    <w:rsid w:val="002E4885"/>
    <w:rsid w:val="003722DD"/>
    <w:rsid w:val="003C290D"/>
    <w:rsid w:val="0040629E"/>
    <w:rsid w:val="004A7906"/>
    <w:rsid w:val="00523A39"/>
    <w:rsid w:val="00563D6C"/>
    <w:rsid w:val="005B290E"/>
    <w:rsid w:val="005F1CA1"/>
    <w:rsid w:val="006748CD"/>
    <w:rsid w:val="00703106"/>
    <w:rsid w:val="00834884"/>
    <w:rsid w:val="00842BBB"/>
    <w:rsid w:val="00846F88"/>
    <w:rsid w:val="00850CB8"/>
    <w:rsid w:val="00871BE1"/>
    <w:rsid w:val="008C1AEA"/>
    <w:rsid w:val="00956CA6"/>
    <w:rsid w:val="00A04D91"/>
    <w:rsid w:val="00A22B32"/>
    <w:rsid w:val="00A23758"/>
    <w:rsid w:val="00A40113"/>
    <w:rsid w:val="00AB4F41"/>
    <w:rsid w:val="00AD1CC3"/>
    <w:rsid w:val="00B214CE"/>
    <w:rsid w:val="00B56B90"/>
    <w:rsid w:val="00BB1477"/>
    <w:rsid w:val="00BB4231"/>
    <w:rsid w:val="00C307E4"/>
    <w:rsid w:val="00C32F0F"/>
    <w:rsid w:val="00C47ED9"/>
    <w:rsid w:val="00C50F77"/>
    <w:rsid w:val="00C7478D"/>
    <w:rsid w:val="00D21244"/>
    <w:rsid w:val="00D61568"/>
    <w:rsid w:val="00DB3F7B"/>
    <w:rsid w:val="00DF3906"/>
    <w:rsid w:val="00E33220"/>
    <w:rsid w:val="00EA2442"/>
    <w:rsid w:val="00EB7807"/>
    <w:rsid w:val="00F8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971D4AA-B974-4C13-8EE9-638042EA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F7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0F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F77"/>
  </w:style>
  <w:style w:type="paragraph" w:styleId="Piedepgina">
    <w:name w:val="footer"/>
    <w:basedOn w:val="Normal"/>
    <w:link w:val="PiedepginaCar"/>
    <w:uiPriority w:val="99"/>
    <w:unhideWhenUsed/>
    <w:rsid w:val="00C50F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F77"/>
  </w:style>
  <w:style w:type="character" w:styleId="Hipervnculo">
    <w:name w:val="Hyperlink"/>
    <w:rsid w:val="00C50F7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F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F77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BB42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D61568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D61568"/>
    <w:rPr>
      <w:b/>
      <w:bCs/>
    </w:rPr>
  </w:style>
  <w:style w:type="paragraph" w:customStyle="1" w:styleId="Default">
    <w:name w:val="Default"/>
    <w:rsid w:val="00406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846F8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E0DAD-C98A-4EB9-BB87-F2B3360A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Serna</dc:creator>
  <cp:lastModifiedBy>Elsa Yazmin Gonzalez Vega</cp:lastModifiedBy>
  <cp:revision>10</cp:revision>
  <cp:lastPrinted>2018-09-12T20:15:00Z</cp:lastPrinted>
  <dcterms:created xsi:type="dcterms:W3CDTF">2018-09-12T17:12:00Z</dcterms:created>
  <dcterms:modified xsi:type="dcterms:W3CDTF">2018-09-12T20:16:00Z</dcterms:modified>
</cp:coreProperties>
</file>